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E1E" w:rsidRDefault="00121E1B">
      <w:pPr>
        <w:spacing w:after="100"/>
        <w:jc w:val="center"/>
      </w:pPr>
      <w:r>
        <w:rPr>
          <w:rFonts w:ascii="Arial" w:eastAsia="Arial" w:hAnsi="Arial" w:cs="Arial"/>
          <w:b/>
          <w:bCs/>
          <w:color w:val="1F3864"/>
          <w:sz w:val="28"/>
          <w:szCs w:val="28"/>
        </w:rPr>
        <w:t>BOROUGH OF TUCKERTON</w:t>
      </w:r>
    </w:p>
    <w:p w:rsidR="00FA0E1E" w:rsidRDefault="00121E1B">
      <w:pPr>
        <w:spacing w:after="100"/>
        <w:jc w:val="center"/>
      </w:pPr>
      <w:r>
        <w:rPr>
          <w:rFonts w:ascii="Arial" w:eastAsia="Arial" w:hAnsi="Arial" w:cs="Arial"/>
          <w:b/>
          <w:bCs/>
          <w:color w:val="1F3864"/>
          <w:sz w:val="26"/>
          <w:szCs w:val="26"/>
        </w:rPr>
        <w:t>LAND USE BOARD</w:t>
      </w:r>
    </w:p>
    <w:p w:rsidR="00FA0E1E" w:rsidRDefault="00121E1B">
      <w:pPr>
        <w:spacing w:after="300"/>
        <w:jc w:val="center"/>
      </w:pPr>
      <w:r>
        <w:rPr>
          <w:rFonts w:ascii="Arial" w:eastAsia="Arial" w:hAnsi="Arial" w:cs="Arial"/>
          <w:b/>
          <w:bCs/>
          <w:sz w:val="24"/>
          <w:szCs w:val="24"/>
        </w:rPr>
        <w:t xml:space="preserve">Regular Meeting Minutes — </w:t>
      </w:r>
      <w:r w:rsidR="00751E68">
        <w:rPr>
          <w:rFonts w:ascii="Arial" w:eastAsia="Arial" w:hAnsi="Arial" w:cs="Arial"/>
          <w:b/>
          <w:bCs/>
          <w:sz w:val="24"/>
          <w:szCs w:val="24"/>
        </w:rPr>
        <w:t xml:space="preserve">July 16, 2026 </w:t>
      </w:r>
    </w:p>
    <w:p w:rsidR="00FA0E1E" w:rsidRDefault="00121E1B">
      <w:pPr>
        <w:pBdr>
          <w:bottom w:val="single" w:sz="6" w:space="2" w:color="1F3864"/>
        </w:pBdr>
        <w:spacing w:before="300" w:after="150"/>
      </w:pPr>
      <w:r>
        <w:rPr>
          <w:rFonts w:ascii="Arial" w:eastAsia="Arial" w:hAnsi="Arial" w:cs="Arial"/>
          <w:b/>
          <w:bCs/>
          <w:color w:val="1F3864"/>
          <w:sz w:val="26"/>
          <w:szCs w:val="26"/>
        </w:rPr>
        <w:t>Call to Order / Open Public Meetings Act Statement</w:t>
      </w:r>
    </w:p>
    <w:p w:rsidR="00FA0E1E" w:rsidRDefault="00121E1B">
      <w:pPr>
        <w:spacing w:after="120"/>
      </w:pPr>
      <w:r>
        <w:rPr>
          <w:rFonts w:ascii="Arial" w:eastAsia="Arial" w:hAnsi="Arial" w:cs="Arial"/>
          <w:sz w:val="22"/>
          <w:szCs w:val="22"/>
        </w:rPr>
        <w:t>The meeting was called to order, followed by the Pledge of Allegiance.</w:t>
      </w:r>
    </w:p>
    <w:p w:rsidR="00FA0E1E" w:rsidRDefault="00121E1B">
      <w:pPr>
        <w:spacing w:after="120"/>
      </w:pPr>
      <w:r>
        <w:rPr>
          <w:rFonts w:ascii="Arial" w:eastAsia="Arial" w:hAnsi="Arial" w:cs="Arial"/>
          <w:sz w:val="22"/>
          <w:szCs w:val="22"/>
        </w:rPr>
        <w:t xml:space="preserve">The secretary </w:t>
      </w:r>
      <w:r>
        <w:rPr>
          <w:rFonts w:ascii="Arial" w:eastAsia="Arial" w:hAnsi="Arial" w:cs="Arial"/>
          <w:sz w:val="22"/>
          <w:szCs w:val="22"/>
        </w:rPr>
        <w:t>announced that the provisions of the Open Public Meetings Act have been complied with, as notice was published in the Beacon and the Asbury Park Press, stating the time, date, and place of this meeting.</w:t>
      </w:r>
    </w:p>
    <w:p w:rsidR="00FA0E1E" w:rsidRDefault="00121E1B">
      <w:pPr>
        <w:pBdr>
          <w:bottom w:val="single" w:sz="6" w:space="2" w:color="1F3864"/>
        </w:pBdr>
        <w:spacing w:before="300" w:after="150"/>
      </w:pPr>
      <w:r>
        <w:rPr>
          <w:rFonts w:ascii="Arial" w:eastAsia="Arial" w:hAnsi="Arial" w:cs="Arial"/>
          <w:b/>
          <w:bCs/>
          <w:color w:val="1F3864"/>
          <w:sz w:val="26"/>
          <w:szCs w:val="26"/>
        </w:rPr>
        <w:t>Roll Call</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00"/>
        <w:gridCol w:w="2700"/>
      </w:tblGrid>
      <w:tr w:rsidR="00FA0E1E">
        <w:tblPrEx>
          <w:tblCellMar>
            <w:top w:w="0" w:type="dxa"/>
            <w:bottom w:w="0" w:type="dxa"/>
          </w:tblCellMar>
        </w:tblPrEx>
        <w:trPr>
          <w:tblHeader/>
        </w:trPr>
        <w:tc>
          <w:tcPr>
            <w:tcW w:w="6300" w:type="dxa"/>
            <w:shd w:val="clear" w:color="auto" w:fill="1F3864"/>
          </w:tcPr>
          <w:p w:rsidR="00FA0E1E" w:rsidRDefault="00121E1B">
            <w:r>
              <w:rPr>
                <w:rFonts w:ascii="Arial" w:eastAsia="Arial" w:hAnsi="Arial" w:cs="Arial"/>
                <w:b/>
                <w:bCs/>
                <w:color w:val="FFFFFF"/>
                <w:sz w:val="22"/>
                <w:szCs w:val="22"/>
              </w:rPr>
              <w:t>Board Member</w:t>
            </w:r>
          </w:p>
        </w:tc>
        <w:tc>
          <w:tcPr>
            <w:tcW w:w="2700" w:type="dxa"/>
            <w:shd w:val="clear" w:color="auto" w:fill="1F3864"/>
          </w:tcPr>
          <w:p w:rsidR="00FA0E1E" w:rsidRDefault="00121E1B">
            <w:r>
              <w:rPr>
                <w:rFonts w:ascii="Arial" w:eastAsia="Arial" w:hAnsi="Arial" w:cs="Arial"/>
                <w:b/>
                <w:bCs/>
                <w:color w:val="FFFFFF"/>
                <w:sz w:val="22"/>
                <w:szCs w:val="22"/>
              </w:rPr>
              <w:t>Status</w:t>
            </w:r>
          </w:p>
        </w:tc>
      </w:tr>
      <w:tr w:rsidR="00FA0E1E">
        <w:tblPrEx>
          <w:tblCellMar>
            <w:top w:w="0" w:type="dxa"/>
            <w:bottom w:w="0" w:type="dxa"/>
          </w:tblCellMar>
        </w:tblPrEx>
        <w:tc>
          <w:tcPr>
            <w:tcW w:w="6300" w:type="dxa"/>
          </w:tcPr>
          <w:p w:rsidR="00FA0E1E" w:rsidRDefault="00121E1B" w:rsidP="007D4E48">
            <w:r>
              <w:rPr>
                <w:rFonts w:ascii="Arial" w:eastAsia="Arial" w:hAnsi="Arial" w:cs="Arial"/>
                <w:sz w:val="22"/>
                <w:szCs w:val="22"/>
              </w:rPr>
              <w:t xml:space="preserve">Don </w:t>
            </w:r>
            <w:proofErr w:type="spellStart"/>
            <w:r>
              <w:rPr>
                <w:rFonts w:ascii="Arial" w:eastAsia="Arial" w:hAnsi="Arial" w:cs="Arial"/>
                <w:sz w:val="22"/>
                <w:szCs w:val="22"/>
              </w:rPr>
              <w:t>R</w:t>
            </w:r>
            <w:r w:rsidR="007D4E48">
              <w:rPr>
                <w:rFonts w:ascii="Arial" w:eastAsia="Arial" w:hAnsi="Arial" w:cs="Arial"/>
                <w:sz w:val="22"/>
                <w:szCs w:val="22"/>
              </w:rPr>
              <w:t>ocheskey</w:t>
            </w:r>
            <w:proofErr w:type="spellEnd"/>
          </w:p>
        </w:tc>
        <w:tc>
          <w:tcPr>
            <w:tcW w:w="2700" w:type="dxa"/>
          </w:tcPr>
          <w:p w:rsidR="00FA0E1E" w:rsidRDefault="00121E1B">
            <w:r>
              <w:rPr>
                <w:rFonts w:ascii="Arial" w:eastAsia="Arial" w:hAnsi="Arial" w:cs="Arial"/>
                <w:sz w:val="22"/>
                <w:szCs w:val="22"/>
              </w:rPr>
              <w:t>P</w:t>
            </w:r>
            <w:r>
              <w:rPr>
                <w:rFonts w:ascii="Arial" w:eastAsia="Arial" w:hAnsi="Arial" w:cs="Arial"/>
                <w:sz w:val="22"/>
                <w:szCs w:val="22"/>
              </w:rPr>
              <w:t>resent</w:t>
            </w:r>
          </w:p>
        </w:tc>
      </w:tr>
      <w:tr w:rsidR="00FA0E1E">
        <w:tblPrEx>
          <w:tblCellMar>
            <w:top w:w="0" w:type="dxa"/>
            <w:bottom w:w="0" w:type="dxa"/>
          </w:tblCellMar>
        </w:tblPrEx>
        <w:tc>
          <w:tcPr>
            <w:tcW w:w="6300" w:type="dxa"/>
          </w:tcPr>
          <w:p w:rsidR="00FA0E1E" w:rsidRDefault="00121E1B" w:rsidP="007D4E48">
            <w:r>
              <w:rPr>
                <w:rFonts w:ascii="Arial" w:eastAsia="Arial" w:hAnsi="Arial" w:cs="Arial"/>
                <w:sz w:val="22"/>
                <w:szCs w:val="22"/>
              </w:rPr>
              <w:t xml:space="preserve">Wayne </w:t>
            </w:r>
            <w:proofErr w:type="spellStart"/>
            <w:r>
              <w:rPr>
                <w:rFonts w:ascii="Arial" w:eastAsia="Arial" w:hAnsi="Arial" w:cs="Arial"/>
                <w:sz w:val="22"/>
                <w:szCs w:val="22"/>
              </w:rPr>
              <w:t>T</w:t>
            </w:r>
            <w:r w:rsidR="007D4E48">
              <w:rPr>
                <w:rFonts w:ascii="Arial" w:eastAsia="Arial" w:hAnsi="Arial" w:cs="Arial"/>
                <w:sz w:val="22"/>
                <w:szCs w:val="22"/>
              </w:rPr>
              <w:t>onnesen</w:t>
            </w:r>
            <w:proofErr w:type="spellEnd"/>
          </w:p>
        </w:tc>
        <w:tc>
          <w:tcPr>
            <w:tcW w:w="2700" w:type="dxa"/>
          </w:tcPr>
          <w:p w:rsidR="00FA0E1E" w:rsidRDefault="00121E1B">
            <w:r>
              <w:rPr>
                <w:rFonts w:ascii="Arial" w:eastAsia="Arial" w:hAnsi="Arial" w:cs="Arial"/>
                <w:sz w:val="22"/>
                <w:szCs w:val="22"/>
              </w:rPr>
              <w:t>A</w:t>
            </w:r>
            <w:r>
              <w:rPr>
                <w:rFonts w:ascii="Arial" w:eastAsia="Arial" w:hAnsi="Arial" w:cs="Arial"/>
                <w:sz w:val="22"/>
                <w:szCs w:val="22"/>
              </w:rPr>
              <w:t>bsent</w:t>
            </w:r>
          </w:p>
        </w:tc>
      </w:tr>
      <w:tr w:rsidR="00FA0E1E">
        <w:tblPrEx>
          <w:tblCellMar>
            <w:top w:w="0" w:type="dxa"/>
            <w:bottom w:w="0" w:type="dxa"/>
          </w:tblCellMar>
        </w:tblPrEx>
        <w:tc>
          <w:tcPr>
            <w:tcW w:w="6300" w:type="dxa"/>
          </w:tcPr>
          <w:p w:rsidR="00FA0E1E" w:rsidRDefault="00121E1B">
            <w:r>
              <w:rPr>
                <w:rFonts w:ascii="Arial" w:eastAsia="Arial" w:hAnsi="Arial" w:cs="Arial"/>
                <w:sz w:val="22"/>
                <w:szCs w:val="22"/>
              </w:rPr>
              <w:t>Mayor Susan R. Marshall</w:t>
            </w:r>
          </w:p>
        </w:tc>
        <w:tc>
          <w:tcPr>
            <w:tcW w:w="2700" w:type="dxa"/>
          </w:tcPr>
          <w:p w:rsidR="00FA0E1E" w:rsidRDefault="00121E1B">
            <w:r>
              <w:rPr>
                <w:rFonts w:ascii="Arial" w:eastAsia="Arial" w:hAnsi="Arial" w:cs="Arial"/>
                <w:sz w:val="22"/>
                <w:szCs w:val="22"/>
              </w:rPr>
              <w:t>Present</w:t>
            </w:r>
          </w:p>
        </w:tc>
      </w:tr>
      <w:tr w:rsidR="00FA0E1E">
        <w:tblPrEx>
          <w:tblCellMar>
            <w:top w:w="0" w:type="dxa"/>
            <w:bottom w:w="0" w:type="dxa"/>
          </w:tblCellMar>
        </w:tblPrEx>
        <w:tc>
          <w:tcPr>
            <w:tcW w:w="6300" w:type="dxa"/>
          </w:tcPr>
          <w:p w:rsidR="00FA0E1E" w:rsidRDefault="00121E1B">
            <w:r>
              <w:rPr>
                <w:rFonts w:ascii="Arial" w:eastAsia="Arial" w:hAnsi="Arial" w:cs="Arial"/>
                <w:sz w:val="22"/>
                <w:szCs w:val="22"/>
              </w:rPr>
              <w:t>James McAndrew</w:t>
            </w:r>
          </w:p>
        </w:tc>
        <w:tc>
          <w:tcPr>
            <w:tcW w:w="2700" w:type="dxa"/>
          </w:tcPr>
          <w:p w:rsidR="00FA0E1E" w:rsidRDefault="00121E1B">
            <w:r>
              <w:rPr>
                <w:rFonts w:ascii="Arial" w:eastAsia="Arial" w:hAnsi="Arial" w:cs="Arial"/>
                <w:sz w:val="22"/>
                <w:szCs w:val="22"/>
              </w:rPr>
              <w:t>Present</w:t>
            </w:r>
          </w:p>
        </w:tc>
      </w:tr>
      <w:tr w:rsidR="00FA0E1E">
        <w:tblPrEx>
          <w:tblCellMar>
            <w:top w:w="0" w:type="dxa"/>
            <w:bottom w:w="0" w:type="dxa"/>
          </w:tblCellMar>
        </w:tblPrEx>
        <w:tc>
          <w:tcPr>
            <w:tcW w:w="6300" w:type="dxa"/>
          </w:tcPr>
          <w:p w:rsidR="00FA0E1E" w:rsidRDefault="00121E1B">
            <w:r>
              <w:rPr>
                <w:rFonts w:ascii="Arial" w:eastAsia="Arial" w:hAnsi="Arial" w:cs="Arial"/>
                <w:sz w:val="22"/>
                <w:szCs w:val="22"/>
              </w:rPr>
              <w:t>Keith Vreeland</w:t>
            </w:r>
          </w:p>
        </w:tc>
        <w:tc>
          <w:tcPr>
            <w:tcW w:w="2700" w:type="dxa"/>
          </w:tcPr>
          <w:p w:rsidR="00FA0E1E" w:rsidRDefault="00121E1B">
            <w:r>
              <w:rPr>
                <w:rFonts w:ascii="Arial" w:eastAsia="Arial" w:hAnsi="Arial" w:cs="Arial"/>
                <w:sz w:val="22"/>
                <w:szCs w:val="22"/>
              </w:rPr>
              <w:t>Present</w:t>
            </w:r>
          </w:p>
        </w:tc>
      </w:tr>
      <w:tr w:rsidR="00FA0E1E">
        <w:tblPrEx>
          <w:tblCellMar>
            <w:top w:w="0" w:type="dxa"/>
            <w:bottom w:w="0" w:type="dxa"/>
          </w:tblCellMar>
        </w:tblPrEx>
        <w:tc>
          <w:tcPr>
            <w:tcW w:w="6300" w:type="dxa"/>
          </w:tcPr>
          <w:p w:rsidR="00FA0E1E" w:rsidRDefault="00121E1B">
            <w:r>
              <w:rPr>
                <w:rFonts w:ascii="Arial" w:eastAsia="Arial" w:hAnsi="Arial" w:cs="Arial"/>
                <w:sz w:val="22"/>
                <w:szCs w:val="22"/>
              </w:rPr>
              <w:t>Calvin Morey</w:t>
            </w:r>
          </w:p>
        </w:tc>
        <w:tc>
          <w:tcPr>
            <w:tcW w:w="2700" w:type="dxa"/>
          </w:tcPr>
          <w:p w:rsidR="00FA0E1E" w:rsidRDefault="00121E1B">
            <w:r>
              <w:rPr>
                <w:rFonts w:ascii="Arial" w:eastAsia="Arial" w:hAnsi="Arial" w:cs="Arial"/>
                <w:sz w:val="22"/>
                <w:szCs w:val="22"/>
              </w:rPr>
              <w:t>Present</w:t>
            </w:r>
          </w:p>
        </w:tc>
      </w:tr>
      <w:tr w:rsidR="00FA0E1E">
        <w:tblPrEx>
          <w:tblCellMar>
            <w:top w:w="0" w:type="dxa"/>
            <w:bottom w:w="0" w:type="dxa"/>
          </w:tblCellMar>
        </w:tblPrEx>
        <w:tc>
          <w:tcPr>
            <w:tcW w:w="6300" w:type="dxa"/>
          </w:tcPr>
          <w:p w:rsidR="00FA0E1E" w:rsidRDefault="00121E1B">
            <w:r>
              <w:rPr>
                <w:rFonts w:ascii="Arial" w:eastAsia="Arial" w:hAnsi="Arial" w:cs="Arial"/>
                <w:sz w:val="22"/>
                <w:szCs w:val="22"/>
              </w:rPr>
              <w:t xml:space="preserve">Beth </w:t>
            </w:r>
            <w:proofErr w:type="spellStart"/>
            <w:r>
              <w:rPr>
                <w:rFonts w:ascii="Arial" w:eastAsia="Arial" w:hAnsi="Arial" w:cs="Arial"/>
                <w:sz w:val="22"/>
                <w:szCs w:val="22"/>
              </w:rPr>
              <w:t>Obidzinski</w:t>
            </w:r>
            <w:proofErr w:type="spellEnd"/>
            <w:r>
              <w:rPr>
                <w:rFonts w:ascii="Arial" w:eastAsia="Arial" w:hAnsi="Arial" w:cs="Arial"/>
                <w:sz w:val="22"/>
                <w:szCs w:val="22"/>
              </w:rPr>
              <w:t>-Garvin</w:t>
            </w:r>
          </w:p>
        </w:tc>
        <w:tc>
          <w:tcPr>
            <w:tcW w:w="2700" w:type="dxa"/>
          </w:tcPr>
          <w:p w:rsidR="00FA0E1E" w:rsidRDefault="00121E1B">
            <w:r>
              <w:rPr>
                <w:rFonts w:ascii="Arial" w:eastAsia="Arial" w:hAnsi="Arial" w:cs="Arial"/>
                <w:sz w:val="22"/>
                <w:szCs w:val="22"/>
              </w:rPr>
              <w:t>Absent</w:t>
            </w:r>
          </w:p>
        </w:tc>
      </w:tr>
      <w:tr w:rsidR="00FA0E1E">
        <w:tblPrEx>
          <w:tblCellMar>
            <w:top w:w="0" w:type="dxa"/>
            <w:bottom w:w="0" w:type="dxa"/>
          </w:tblCellMar>
        </w:tblPrEx>
        <w:tc>
          <w:tcPr>
            <w:tcW w:w="6300" w:type="dxa"/>
          </w:tcPr>
          <w:p w:rsidR="00FA0E1E" w:rsidRDefault="007D4E48">
            <w:r>
              <w:rPr>
                <w:rFonts w:ascii="Arial" w:eastAsia="Arial" w:hAnsi="Arial" w:cs="Arial"/>
                <w:sz w:val="22"/>
                <w:szCs w:val="22"/>
              </w:rPr>
              <w:t xml:space="preserve">Paul </w:t>
            </w:r>
            <w:proofErr w:type="spellStart"/>
            <w:r>
              <w:rPr>
                <w:rFonts w:ascii="Arial" w:eastAsia="Arial" w:hAnsi="Arial" w:cs="Arial"/>
                <w:sz w:val="22"/>
                <w:szCs w:val="22"/>
              </w:rPr>
              <w:t>Sol</w:t>
            </w:r>
            <w:r w:rsidR="00121E1B">
              <w:rPr>
                <w:rFonts w:ascii="Arial" w:eastAsia="Arial" w:hAnsi="Arial" w:cs="Arial"/>
                <w:sz w:val="22"/>
                <w:szCs w:val="22"/>
              </w:rPr>
              <w:t>imani</w:t>
            </w:r>
            <w:proofErr w:type="spellEnd"/>
          </w:p>
        </w:tc>
        <w:tc>
          <w:tcPr>
            <w:tcW w:w="2700" w:type="dxa"/>
          </w:tcPr>
          <w:p w:rsidR="00FA0E1E" w:rsidRDefault="00121E1B">
            <w:r>
              <w:rPr>
                <w:rFonts w:ascii="Arial" w:eastAsia="Arial" w:hAnsi="Arial" w:cs="Arial"/>
                <w:sz w:val="22"/>
                <w:szCs w:val="22"/>
              </w:rPr>
              <w:t>Present</w:t>
            </w:r>
          </w:p>
        </w:tc>
      </w:tr>
      <w:tr w:rsidR="00FA0E1E">
        <w:tblPrEx>
          <w:tblCellMar>
            <w:top w:w="0" w:type="dxa"/>
            <w:bottom w:w="0" w:type="dxa"/>
          </w:tblCellMar>
        </w:tblPrEx>
        <w:tc>
          <w:tcPr>
            <w:tcW w:w="6300" w:type="dxa"/>
          </w:tcPr>
          <w:p w:rsidR="00FA0E1E" w:rsidRDefault="00121E1B">
            <w:r>
              <w:rPr>
                <w:rFonts w:ascii="Arial" w:eastAsia="Arial" w:hAnsi="Arial" w:cs="Arial"/>
                <w:sz w:val="22"/>
                <w:szCs w:val="22"/>
              </w:rPr>
              <w:t>Rich Pear</w:t>
            </w:r>
          </w:p>
        </w:tc>
        <w:tc>
          <w:tcPr>
            <w:tcW w:w="2700" w:type="dxa"/>
          </w:tcPr>
          <w:p w:rsidR="00FA0E1E" w:rsidRDefault="00121E1B">
            <w:r>
              <w:rPr>
                <w:rFonts w:ascii="Arial" w:eastAsia="Arial" w:hAnsi="Arial" w:cs="Arial"/>
                <w:sz w:val="22"/>
                <w:szCs w:val="22"/>
              </w:rPr>
              <w:t>Absent</w:t>
            </w:r>
          </w:p>
        </w:tc>
      </w:tr>
      <w:tr w:rsidR="00FA0E1E">
        <w:tblPrEx>
          <w:tblCellMar>
            <w:top w:w="0" w:type="dxa"/>
            <w:bottom w:w="0" w:type="dxa"/>
          </w:tblCellMar>
        </w:tblPrEx>
        <w:tc>
          <w:tcPr>
            <w:tcW w:w="6300" w:type="dxa"/>
          </w:tcPr>
          <w:p w:rsidR="00FA0E1E" w:rsidRDefault="00121E1B">
            <w:r>
              <w:rPr>
                <w:rFonts w:ascii="Arial" w:eastAsia="Arial" w:hAnsi="Arial" w:cs="Arial"/>
                <w:sz w:val="22"/>
                <w:szCs w:val="22"/>
              </w:rPr>
              <w:t>Robert Rue</w:t>
            </w:r>
          </w:p>
        </w:tc>
        <w:tc>
          <w:tcPr>
            <w:tcW w:w="2700" w:type="dxa"/>
          </w:tcPr>
          <w:p w:rsidR="00FA0E1E" w:rsidRDefault="00121E1B">
            <w:r>
              <w:rPr>
                <w:rFonts w:ascii="Arial" w:eastAsia="Arial" w:hAnsi="Arial" w:cs="Arial"/>
                <w:sz w:val="22"/>
                <w:szCs w:val="22"/>
              </w:rPr>
              <w:t>Present</w:t>
            </w:r>
          </w:p>
        </w:tc>
      </w:tr>
      <w:tr w:rsidR="00FA0E1E">
        <w:tblPrEx>
          <w:tblCellMar>
            <w:top w:w="0" w:type="dxa"/>
            <w:bottom w:w="0" w:type="dxa"/>
          </w:tblCellMar>
        </w:tblPrEx>
        <w:tc>
          <w:tcPr>
            <w:tcW w:w="6300" w:type="dxa"/>
          </w:tcPr>
          <w:p w:rsidR="00FA0E1E" w:rsidRDefault="00121E1B">
            <w:r>
              <w:rPr>
                <w:rFonts w:ascii="Arial" w:eastAsia="Arial" w:hAnsi="Arial" w:cs="Arial"/>
                <w:sz w:val="22"/>
                <w:szCs w:val="22"/>
              </w:rPr>
              <w:t>Ryan Henness</w:t>
            </w:r>
            <w:r w:rsidR="007D4E48">
              <w:rPr>
                <w:rFonts w:ascii="Arial" w:eastAsia="Arial" w:hAnsi="Arial" w:cs="Arial"/>
                <w:sz w:val="22"/>
                <w:szCs w:val="22"/>
              </w:rPr>
              <w:t>ey</w:t>
            </w:r>
          </w:p>
        </w:tc>
        <w:tc>
          <w:tcPr>
            <w:tcW w:w="2700" w:type="dxa"/>
          </w:tcPr>
          <w:p w:rsidR="00FA0E1E" w:rsidRDefault="00121E1B">
            <w:r>
              <w:rPr>
                <w:rFonts w:ascii="Arial" w:eastAsia="Arial" w:hAnsi="Arial" w:cs="Arial"/>
                <w:sz w:val="22"/>
                <w:szCs w:val="22"/>
              </w:rPr>
              <w:t>Absent</w:t>
            </w:r>
          </w:p>
        </w:tc>
      </w:tr>
    </w:tbl>
    <w:p w:rsidR="00FA0E1E" w:rsidRDefault="00121E1B">
      <w:pPr>
        <w:spacing w:after="120"/>
      </w:pPr>
      <w:r>
        <w:rPr>
          <w:rFonts w:ascii="Arial" w:eastAsia="Arial" w:hAnsi="Arial" w:cs="Arial"/>
          <w:i/>
          <w:iCs/>
          <w:sz w:val="22"/>
          <w:szCs w:val="22"/>
        </w:rPr>
        <w:t>Also present: Board Attorney and Board Engineer.</w:t>
      </w:r>
    </w:p>
    <w:p w:rsidR="00FA0E1E" w:rsidRDefault="00121E1B">
      <w:pPr>
        <w:pBdr>
          <w:bottom w:val="single" w:sz="6" w:space="2" w:color="1F3864"/>
        </w:pBdr>
        <w:spacing w:before="300" w:after="150"/>
      </w:pPr>
      <w:r>
        <w:rPr>
          <w:rFonts w:ascii="Arial" w:eastAsia="Arial" w:hAnsi="Arial" w:cs="Arial"/>
          <w:b/>
          <w:bCs/>
          <w:color w:val="1F3864"/>
          <w:sz w:val="26"/>
          <w:szCs w:val="26"/>
        </w:rPr>
        <w:t>Minutes</w:t>
      </w:r>
    </w:p>
    <w:p w:rsidR="00FA0E1E" w:rsidRDefault="00B655A1">
      <w:pPr>
        <w:spacing w:after="120"/>
      </w:pPr>
      <w:r>
        <w:rPr>
          <w:rFonts w:ascii="Arial" w:eastAsia="Arial" w:hAnsi="Arial" w:cs="Arial"/>
          <w:sz w:val="22"/>
          <w:szCs w:val="22"/>
        </w:rPr>
        <w:t>Keith Vreeland mad a motion</w:t>
      </w:r>
      <w:r w:rsidR="00121E1B">
        <w:rPr>
          <w:rFonts w:ascii="Arial" w:eastAsia="Arial" w:hAnsi="Arial" w:cs="Arial"/>
          <w:sz w:val="22"/>
          <w:szCs w:val="22"/>
        </w:rPr>
        <w:t xml:space="preserve"> to approve the minutes of the previous meeting as written. The motion was duly seconded</w:t>
      </w:r>
      <w:r>
        <w:rPr>
          <w:rFonts w:ascii="Arial" w:eastAsia="Arial" w:hAnsi="Arial" w:cs="Arial"/>
          <w:sz w:val="22"/>
          <w:szCs w:val="22"/>
        </w:rPr>
        <w:t xml:space="preserve"> by James McAndrew</w:t>
      </w:r>
      <w:r w:rsidR="00121E1B">
        <w:rPr>
          <w:rFonts w:ascii="Arial" w:eastAsia="Arial" w:hAnsi="Arial" w:cs="Arial"/>
          <w:sz w:val="22"/>
          <w:szCs w:val="22"/>
        </w:rPr>
        <w:t xml:space="preserve"> and carried by roll call vote, with all members present voting in the affirmative.</w:t>
      </w:r>
    </w:p>
    <w:p w:rsidR="00FA0E1E" w:rsidRDefault="00121E1B">
      <w:pPr>
        <w:pBdr>
          <w:bottom w:val="single" w:sz="6" w:space="2" w:color="1F3864"/>
        </w:pBdr>
        <w:spacing w:before="300" w:after="150"/>
      </w:pPr>
      <w:r>
        <w:rPr>
          <w:rFonts w:ascii="Arial" w:eastAsia="Arial" w:hAnsi="Arial" w:cs="Arial"/>
          <w:b/>
          <w:bCs/>
          <w:color w:val="1F3864"/>
          <w:sz w:val="26"/>
          <w:szCs w:val="26"/>
        </w:rPr>
        <w:t>Invoices</w:t>
      </w:r>
    </w:p>
    <w:p w:rsidR="00FA0E1E" w:rsidRDefault="00121E1B">
      <w:pPr>
        <w:spacing w:after="120"/>
      </w:pPr>
      <w:r>
        <w:rPr>
          <w:rFonts w:ascii="Arial" w:eastAsia="Arial" w:hAnsi="Arial" w:cs="Arial"/>
          <w:sz w:val="22"/>
          <w:szCs w:val="22"/>
        </w:rPr>
        <w:t>The following invoices were presented for approval:</w:t>
      </w:r>
    </w:p>
    <w:p w:rsidR="00FA0E1E" w:rsidRDefault="00121E1B">
      <w:pPr>
        <w:pStyle w:val="ListParagraph"/>
        <w:numPr>
          <w:ilvl w:val="0"/>
          <w:numId w:val="1"/>
        </w:numPr>
        <w:spacing w:after="80"/>
        <w:ind w:left="360"/>
      </w:pPr>
      <w:r>
        <w:rPr>
          <w:rFonts w:ascii="Arial" w:eastAsia="Arial" w:hAnsi="Arial" w:cs="Arial"/>
          <w:sz w:val="22"/>
          <w:szCs w:val="22"/>
        </w:rPr>
        <w:t>Woodland, McCoy &amp; Shin — General Board Representation — $100.00</w:t>
      </w:r>
    </w:p>
    <w:p w:rsidR="00FA0E1E" w:rsidRDefault="00121E1B">
      <w:pPr>
        <w:pStyle w:val="ListParagraph"/>
        <w:numPr>
          <w:ilvl w:val="0"/>
          <w:numId w:val="1"/>
        </w:numPr>
        <w:spacing w:after="80"/>
        <w:ind w:left="360"/>
      </w:pPr>
      <w:r>
        <w:rPr>
          <w:rFonts w:ascii="Arial" w:eastAsia="Arial" w:hAnsi="Arial" w:cs="Arial"/>
          <w:sz w:val="22"/>
          <w:szCs w:val="22"/>
        </w:rPr>
        <w:t xml:space="preserve">Woodland, McCoy &amp; Shin — </w:t>
      </w:r>
      <w:proofErr w:type="spellStart"/>
      <w:r>
        <w:rPr>
          <w:rFonts w:ascii="Arial" w:eastAsia="Arial" w:hAnsi="Arial" w:cs="Arial"/>
          <w:sz w:val="22"/>
          <w:szCs w:val="22"/>
        </w:rPr>
        <w:t>Clamtown</w:t>
      </w:r>
      <w:proofErr w:type="spellEnd"/>
      <w:r>
        <w:rPr>
          <w:rFonts w:ascii="Arial" w:eastAsia="Arial" w:hAnsi="Arial" w:cs="Arial"/>
          <w:sz w:val="22"/>
          <w:szCs w:val="22"/>
        </w:rPr>
        <w:t xml:space="preserve"> Group — $50.00</w:t>
      </w:r>
    </w:p>
    <w:p w:rsidR="00FA0E1E" w:rsidRDefault="007D4E48">
      <w:pPr>
        <w:pStyle w:val="ListParagraph"/>
        <w:numPr>
          <w:ilvl w:val="0"/>
          <w:numId w:val="1"/>
        </w:numPr>
        <w:spacing w:after="80"/>
        <w:ind w:left="360"/>
      </w:pPr>
      <w:bookmarkStart w:id="0" w:name="_GoBack"/>
      <w:r>
        <w:rPr>
          <w:rFonts w:ascii="Arial" w:eastAsia="Arial" w:hAnsi="Arial" w:cs="Arial"/>
          <w:sz w:val="22"/>
          <w:szCs w:val="22"/>
        </w:rPr>
        <w:t xml:space="preserve">Woodland, McCoy &amp; Shin — Tuckerton </w:t>
      </w:r>
      <w:r w:rsidR="00121E1B">
        <w:rPr>
          <w:rFonts w:ascii="Arial" w:eastAsia="Arial" w:hAnsi="Arial" w:cs="Arial"/>
          <w:sz w:val="22"/>
          <w:szCs w:val="22"/>
        </w:rPr>
        <w:t>Liquors — $250.00</w:t>
      </w:r>
    </w:p>
    <w:bookmarkEnd w:id="0"/>
    <w:p w:rsidR="00FA0E1E" w:rsidRDefault="00121E1B">
      <w:pPr>
        <w:pStyle w:val="ListParagraph"/>
        <w:numPr>
          <w:ilvl w:val="0"/>
          <w:numId w:val="1"/>
        </w:numPr>
        <w:spacing w:after="80"/>
        <w:ind w:left="360"/>
      </w:pPr>
      <w:r>
        <w:rPr>
          <w:rFonts w:ascii="Arial" w:eastAsia="Arial" w:hAnsi="Arial" w:cs="Arial"/>
          <w:sz w:val="22"/>
          <w:szCs w:val="22"/>
        </w:rPr>
        <w:t>Woodland, McCoy &amp;</w:t>
      </w:r>
      <w:r>
        <w:rPr>
          <w:rFonts w:ascii="Arial" w:eastAsia="Arial" w:hAnsi="Arial" w:cs="Arial"/>
          <w:sz w:val="22"/>
          <w:szCs w:val="22"/>
        </w:rPr>
        <w:t xml:space="preserve"> Shin — 149 East Main Street — $100.00</w:t>
      </w:r>
    </w:p>
    <w:p w:rsidR="00FA0E1E" w:rsidRDefault="00121E1B">
      <w:pPr>
        <w:pStyle w:val="ListParagraph"/>
        <w:numPr>
          <w:ilvl w:val="0"/>
          <w:numId w:val="1"/>
        </w:numPr>
        <w:spacing w:after="80"/>
        <w:ind w:left="360"/>
      </w:pPr>
      <w:r>
        <w:rPr>
          <w:rFonts w:ascii="Arial" w:eastAsia="Arial" w:hAnsi="Arial" w:cs="Arial"/>
          <w:sz w:val="22"/>
          <w:szCs w:val="22"/>
        </w:rPr>
        <w:t xml:space="preserve">T&amp;M Associates — </w:t>
      </w:r>
      <w:proofErr w:type="spellStart"/>
      <w:r>
        <w:rPr>
          <w:rFonts w:ascii="Arial" w:eastAsia="Arial" w:hAnsi="Arial" w:cs="Arial"/>
          <w:sz w:val="22"/>
          <w:szCs w:val="22"/>
        </w:rPr>
        <w:t>Clamtown</w:t>
      </w:r>
      <w:proofErr w:type="spellEnd"/>
      <w:r>
        <w:rPr>
          <w:rFonts w:ascii="Arial" w:eastAsia="Arial" w:hAnsi="Arial" w:cs="Arial"/>
          <w:sz w:val="22"/>
          <w:szCs w:val="22"/>
        </w:rPr>
        <w:t xml:space="preserve"> Group — $90.00</w:t>
      </w:r>
    </w:p>
    <w:p w:rsidR="00FA0E1E" w:rsidRDefault="00121E1B">
      <w:pPr>
        <w:pStyle w:val="ListParagraph"/>
        <w:numPr>
          <w:ilvl w:val="0"/>
          <w:numId w:val="1"/>
        </w:numPr>
        <w:spacing w:after="80"/>
        <w:ind w:left="360"/>
      </w:pPr>
      <w:r>
        <w:rPr>
          <w:rFonts w:ascii="Arial" w:eastAsia="Arial" w:hAnsi="Arial" w:cs="Arial"/>
          <w:sz w:val="22"/>
          <w:szCs w:val="22"/>
        </w:rPr>
        <w:t>T&amp;M Associates — 1000 Green Street LLC — $94.50</w:t>
      </w:r>
    </w:p>
    <w:p w:rsidR="00FA0E1E" w:rsidRDefault="00121E1B">
      <w:pPr>
        <w:pStyle w:val="ListParagraph"/>
        <w:numPr>
          <w:ilvl w:val="0"/>
          <w:numId w:val="1"/>
        </w:numPr>
        <w:spacing w:after="80"/>
        <w:ind w:left="360"/>
      </w:pPr>
      <w:r>
        <w:rPr>
          <w:rFonts w:ascii="Arial" w:eastAsia="Arial" w:hAnsi="Arial" w:cs="Arial"/>
          <w:sz w:val="22"/>
          <w:szCs w:val="22"/>
        </w:rPr>
        <w:t>T&amp;M Associates — Egg Harbor Homes — $90.00</w:t>
      </w:r>
    </w:p>
    <w:p w:rsidR="00FA0E1E" w:rsidRDefault="00B655A1">
      <w:pPr>
        <w:spacing w:after="120"/>
      </w:pPr>
      <w:r>
        <w:rPr>
          <w:rFonts w:ascii="Arial" w:eastAsia="Arial" w:hAnsi="Arial" w:cs="Arial"/>
          <w:sz w:val="22"/>
          <w:szCs w:val="22"/>
        </w:rPr>
        <w:t>James McAndrew made a motion to approve invoices, seconded by Keith Vreeland</w:t>
      </w:r>
      <w:r w:rsidR="00121E1B">
        <w:rPr>
          <w:rFonts w:ascii="Arial" w:eastAsia="Arial" w:hAnsi="Arial" w:cs="Arial"/>
          <w:sz w:val="22"/>
          <w:szCs w:val="22"/>
        </w:rPr>
        <w:t xml:space="preserve"> and carried by roll </w:t>
      </w:r>
      <w:r w:rsidR="00121E1B">
        <w:rPr>
          <w:rFonts w:ascii="Arial" w:eastAsia="Arial" w:hAnsi="Arial" w:cs="Arial"/>
          <w:sz w:val="22"/>
          <w:szCs w:val="22"/>
        </w:rPr>
        <w:t xml:space="preserve">call vote, with all members present voting in the affirmative. </w:t>
      </w:r>
    </w:p>
    <w:p w:rsidR="00FA0E1E" w:rsidRDefault="00121E1B">
      <w:pPr>
        <w:pBdr>
          <w:bottom w:val="single" w:sz="6" w:space="2" w:color="1F3864"/>
        </w:pBdr>
        <w:spacing w:before="300" w:after="150"/>
      </w:pPr>
      <w:r>
        <w:rPr>
          <w:rFonts w:ascii="Arial" w:eastAsia="Arial" w:hAnsi="Arial" w:cs="Arial"/>
          <w:b/>
          <w:bCs/>
          <w:color w:val="1F3864"/>
          <w:sz w:val="26"/>
          <w:szCs w:val="26"/>
        </w:rPr>
        <w:lastRenderedPageBreak/>
        <w:t>Correspondence</w:t>
      </w:r>
    </w:p>
    <w:p w:rsidR="00FA0E1E" w:rsidRDefault="00121E1B">
      <w:pPr>
        <w:spacing w:after="120"/>
      </w:pPr>
      <w:r>
        <w:rPr>
          <w:rFonts w:ascii="Arial" w:eastAsia="Arial" w:hAnsi="Arial" w:cs="Arial"/>
          <w:sz w:val="22"/>
          <w:szCs w:val="22"/>
        </w:rPr>
        <w:t>None presented.</w:t>
      </w:r>
    </w:p>
    <w:p w:rsidR="00FA0E1E" w:rsidRDefault="00121E1B">
      <w:pPr>
        <w:pBdr>
          <w:bottom w:val="single" w:sz="6" w:space="2" w:color="1F3864"/>
        </w:pBdr>
        <w:spacing w:before="300" w:after="150"/>
      </w:pPr>
      <w:r>
        <w:rPr>
          <w:rFonts w:ascii="Arial" w:eastAsia="Arial" w:hAnsi="Arial" w:cs="Arial"/>
          <w:b/>
          <w:bCs/>
          <w:color w:val="1F3864"/>
          <w:sz w:val="26"/>
          <w:szCs w:val="26"/>
        </w:rPr>
        <w:t>New Business</w:t>
      </w:r>
    </w:p>
    <w:p w:rsidR="00FA0E1E" w:rsidRDefault="00121E1B">
      <w:pPr>
        <w:spacing w:after="120"/>
      </w:pPr>
      <w:r>
        <w:rPr>
          <w:rFonts w:ascii="Arial" w:eastAsia="Arial" w:hAnsi="Arial" w:cs="Arial"/>
          <w:b/>
          <w:bCs/>
          <w:sz w:val="22"/>
          <w:szCs w:val="22"/>
        </w:rPr>
        <w:t>Application: 411 South Green Street — Block 91, Lots 7, 8, and 15.01 (R-75 Zone)</w:t>
      </w:r>
    </w:p>
    <w:p w:rsidR="00FA0E1E" w:rsidRDefault="00751E68">
      <w:pPr>
        <w:spacing w:after="120"/>
      </w:pPr>
      <w:r>
        <w:rPr>
          <w:rFonts w:ascii="Arial" w:eastAsia="Arial" w:hAnsi="Arial" w:cs="Arial"/>
          <w:sz w:val="22"/>
          <w:szCs w:val="22"/>
        </w:rPr>
        <w:t xml:space="preserve">Applicant: Egg </w:t>
      </w:r>
      <w:r w:rsidR="00121E1B">
        <w:rPr>
          <w:rFonts w:ascii="Arial" w:eastAsia="Arial" w:hAnsi="Arial" w:cs="Arial"/>
          <w:sz w:val="22"/>
          <w:szCs w:val="22"/>
        </w:rPr>
        <w:t>Harbor Homes, LLC, represe</w:t>
      </w:r>
      <w:r w:rsidR="00121E1B">
        <w:rPr>
          <w:rFonts w:ascii="Arial" w:eastAsia="Arial" w:hAnsi="Arial" w:cs="Arial"/>
          <w:sz w:val="22"/>
          <w:szCs w:val="22"/>
        </w:rPr>
        <w:t>nted by Christopher</w:t>
      </w:r>
      <w:r w:rsidR="00574AC9">
        <w:rPr>
          <w:rFonts w:ascii="Arial" w:eastAsia="Arial" w:hAnsi="Arial" w:cs="Arial"/>
          <w:sz w:val="22"/>
          <w:szCs w:val="22"/>
        </w:rPr>
        <w:t xml:space="preserve"> </w:t>
      </w:r>
      <w:proofErr w:type="spellStart"/>
      <w:r w:rsidR="00574AC9">
        <w:rPr>
          <w:rFonts w:ascii="Arial" w:eastAsia="Arial" w:hAnsi="Arial" w:cs="Arial"/>
          <w:sz w:val="22"/>
          <w:szCs w:val="22"/>
        </w:rPr>
        <w:t>Facenda</w:t>
      </w:r>
      <w:proofErr w:type="spellEnd"/>
      <w:r w:rsidR="00121E1B">
        <w:rPr>
          <w:rFonts w:ascii="Arial" w:eastAsia="Arial" w:hAnsi="Arial" w:cs="Arial"/>
          <w:sz w:val="22"/>
          <w:szCs w:val="22"/>
        </w:rPr>
        <w:t>, of Northfield, New Jersey. Board Member James McAndrew recused himself, being within 200 feet of the property, and stepped off the dais for this application.</w:t>
      </w:r>
    </w:p>
    <w:p w:rsidR="00FA0E1E" w:rsidRDefault="00121E1B">
      <w:pPr>
        <w:spacing w:after="120"/>
      </w:pPr>
      <w:r>
        <w:rPr>
          <w:rFonts w:ascii="Arial" w:eastAsia="Arial" w:hAnsi="Arial" w:cs="Arial"/>
          <w:sz w:val="22"/>
          <w:szCs w:val="22"/>
        </w:rPr>
        <w:t>The application was deemed complete. The applican</w:t>
      </w:r>
      <w:r>
        <w:rPr>
          <w:rFonts w:ascii="Arial" w:eastAsia="Arial" w:hAnsi="Arial" w:cs="Arial"/>
          <w:sz w:val="22"/>
          <w:szCs w:val="22"/>
        </w:rPr>
        <w:t xml:space="preserve">t sought a minor subdivision, with variance relief, to consolidate and </w:t>
      </w:r>
      <w:proofErr w:type="spellStart"/>
      <w:r>
        <w:rPr>
          <w:rFonts w:ascii="Arial" w:eastAsia="Arial" w:hAnsi="Arial" w:cs="Arial"/>
          <w:sz w:val="22"/>
          <w:szCs w:val="22"/>
        </w:rPr>
        <w:t>re</w:t>
      </w:r>
      <w:r>
        <w:rPr>
          <w:rFonts w:ascii="Arial" w:eastAsia="Arial" w:hAnsi="Arial" w:cs="Arial"/>
          <w:sz w:val="22"/>
          <w:szCs w:val="22"/>
        </w:rPr>
        <w:t>subdivide</w:t>
      </w:r>
      <w:proofErr w:type="spellEnd"/>
      <w:r>
        <w:rPr>
          <w:rFonts w:ascii="Arial" w:eastAsia="Arial" w:hAnsi="Arial" w:cs="Arial"/>
          <w:sz w:val="22"/>
          <w:szCs w:val="22"/>
        </w:rPr>
        <w:t xml:space="preserve"> three parcels into two conforming single-family residential lots, with access to the rear lot to be provided by an access easement.</w:t>
      </w:r>
    </w:p>
    <w:p w:rsidR="00FA0E1E" w:rsidRDefault="00121E1B">
      <w:pPr>
        <w:spacing w:after="120"/>
      </w:pPr>
      <w:r>
        <w:rPr>
          <w:rFonts w:ascii="Arial" w:eastAsia="Arial" w:hAnsi="Arial" w:cs="Arial"/>
          <w:sz w:val="22"/>
          <w:szCs w:val="22"/>
        </w:rPr>
        <w:t xml:space="preserve">Witnesses sworn and testifying on behalf </w:t>
      </w:r>
      <w:r>
        <w:rPr>
          <w:rFonts w:ascii="Arial" w:eastAsia="Arial" w:hAnsi="Arial" w:cs="Arial"/>
          <w:sz w:val="22"/>
          <w:szCs w:val="22"/>
        </w:rPr>
        <w:t>of the applicant:</w:t>
      </w:r>
    </w:p>
    <w:p w:rsidR="00FA0E1E" w:rsidRDefault="00121E1B">
      <w:pPr>
        <w:pStyle w:val="ListParagraph"/>
        <w:numPr>
          <w:ilvl w:val="0"/>
          <w:numId w:val="1"/>
        </w:numPr>
        <w:spacing w:after="80"/>
        <w:ind w:left="360"/>
      </w:pPr>
      <w:r>
        <w:rPr>
          <w:rFonts w:ascii="Arial" w:eastAsia="Arial" w:hAnsi="Arial" w:cs="Arial"/>
          <w:sz w:val="22"/>
          <w:szCs w:val="22"/>
        </w:rPr>
        <w:t xml:space="preserve">Andrew Schaefer, P.E., P.P. — 1425 </w:t>
      </w:r>
      <w:proofErr w:type="spellStart"/>
      <w:r>
        <w:rPr>
          <w:rFonts w:ascii="Arial" w:eastAsia="Arial" w:hAnsi="Arial" w:cs="Arial"/>
          <w:sz w:val="22"/>
          <w:szCs w:val="22"/>
        </w:rPr>
        <w:t>Cains</w:t>
      </w:r>
      <w:proofErr w:type="spellEnd"/>
      <w:r>
        <w:rPr>
          <w:rFonts w:ascii="Arial" w:eastAsia="Arial" w:hAnsi="Arial" w:cs="Arial"/>
          <w:sz w:val="22"/>
          <w:szCs w:val="22"/>
        </w:rPr>
        <w:t xml:space="preserve"> Hill Boulevard, Mays Landing, NJ 08330 — accepted by the Board as an expert in engineering and planning.</w:t>
      </w:r>
    </w:p>
    <w:p w:rsidR="00FA0E1E" w:rsidRDefault="00121E1B">
      <w:pPr>
        <w:pStyle w:val="ListParagraph"/>
        <w:numPr>
          <w:ilvl w:val="0"/>
          <w:numId w:val="1"/>
        </w:numPr>
        <w:spacing w:after="80"/>
        <w:ind w:left="360"/>
      </w:pPr>
      <w:r>
        <w:rPr>
          <w:rFonts w:ascii="Arial" w:eastAsia="Arial" w:hAnsi="Arial" w:cs="Arial"/>
          <w:sz w:val="22"/>
          <w:szCs w:val="22"/>
        </w:rPr>
        <w:t>Angelo Cuc</w:t>
      </w:r>
      <w:r w:rsidR="00574AC9">
        <w:rPr>
          <w:rFonts w:ascii="Arial" w:eastAsia="Arial" w:hAnsi="Arial" w:cs="Arial"/>
          <w:sz w:val="22"/>
          <w:szCs w:val="22"/>
        </w:rPr>
        <w:t>ulino</w:t>
      </w:r>
      <w:r>
        <w:rPr>
          <w:rFonts w:ascii="Arial" w:eastAsia="Arial" w:hAnsi="Arial" w:cs="Arial"/>
          <w:sz w:val="22"/>
          <w:szCs w:val="22"/>
        </w:rPr>
        <w:t xml:space="preserve"> — 310 </w:t>
      </w:r>
      <w:proofErr w:type="spellStart"/>
      <w:r>
        <w:rPr>
          <w:rFonts w:ascii="Arial" w:eastAsia="Arial" w:hAnsi="Arial" w:cs="Arial"/>
          <w:sz w:val="22"/>
          <w:szCs w:val="22"/>
        </w:rPr>
        <w:t>Nugentown</w:t>
      </w:r>
      <w:proofErr w:type="spellEnd"/>
      <w:r>
        <w:rPr>
          <w:rFonts w:ascii="Arial" w:eastAsia="Arial" w:hAnsi="Arial" w:cs="Arial"/>
          <w:sz w:val="22"/>
          <w:szCs w:val="22"/>
        </w:rPr>
        <w:t xml:space="preserve"> Road, Little Egg Harbor, NJ 08087 — testified regarding demo</w:t>
      </w:r>
      <w:r>
        <w:rPr>
          <w:rFonts w:ascii="Arial" w:eastAsia="Arial" w:hAnsi="Arial" w:cs="Arial"/>
          <w:sz w:val="22"/>
          <w:szCs w:val="22"/>
        </w:rPr>
        <w:t>lition of the existing structures.</w:t>
      </w:r>
    </w:p>
    <w:p w:rsidR="00FA0E1E" w:rsidRDefault="00121E1B">
      <w:pPr>
        <w:spacing w:after="120"/>
      </w:pPr>
      <w:r>
        <w:rPr>
          <w:rFonts w:ascii="Arial" w:eastAsia="Arial" w:hAnsi="Arial" w:cs="Arial"/>
          <w:b/>
          <w:bCs/>
          <w:sz w:val="22"/>
          <w:szCs w:val="22"/>
        </w:rPr>
        <w:t>Testimony summary:</w:t>
      </w:r>
    </w:p>
    <w:p w:rsidR="00FA0E1E" w:rsidRDefault="00121E1B">
      <w:pPr>
        <w:pStyle w:val="ListParagraph"/>
        <w:numPr>
          <w:ilvl w:val="0"/>
          <w:numId w:val="1"/>
        </w:numPr>
        <w:spacing w:after="80"/>
        <w:ind w:left="360"/>
      </w:pPr>
      <w:r>
        <w:rPr>
          <w:rFonts w:ascii="Arial" w:eastAsia="Arial" w:hAnsi="Arial" w:cs="Arial"/>
          <w:sz w:val="22"/>
          <w:szCs w:val="22"/>
        </w:rPr>
        <w:t>The existing house and shed on the property are not salvageable and will be demolished prior to the filing of the subdivision map.</w:t>
      </w:r>
    </w:p>
    <w:p w:rsidR="00FA0E1E" w:rsidRDefault="00121E1B">
      <w:pPr>
        <w:pStyle w:val="ListParagraph"/>
        <w:numPr>
          <w:ilvl w:val="0"/>
          <w:numId w:val="1"/>
        </w:numPr>
        <w:spacing w:after="80"/>
        <w:ind w:left="360"/>
      </w:pPr>
      <w:r>
        <w:rPr>
          <w:rFonts w:ascii="Arial" w:eastAsia="Arial" w:hAnsi="Arial" w:cs="Arial"/>
          <w:sz w:val="22"/>
          <w:szCs w:val="22"/>
        </w:rPr>
        <w:t>Variances requested: (1) existing side-yard setback of 5.5 feet where 1</w:t>
      </w:r>
      <w:r>
        <w:rPr>
          <w:rFonts w:ascii="Arial" w:eastAsia="Arial" w:hAnsi="Arial" w:cs="Arial"/>
          <w:sz w:val="22"/>
          <w:szCs w:val="22"/>
        </w:rPr>
        <w:t xml:space="preserve">0 feet is required (rendered moot upon demolition, but required while the structure remains); (2) minimum lot width of 50 feet along South Green Street, where the applicant testified this is a pre-existing hardship condition (C-2) that cannot be improved; </w:t>
      </w:r>
      <w:r>
        <w:rPr>
          <w:rFonts w:ascii="Arial" w:eastAsia="Arial" w:hAnsi="Arial" w:cs="Arial"/>
          <w:sz w:val="22"/>
          <w:szCs w:val="22"/>
        </w:rPr>
        <w:t>(3) lack of any lot frontage for the rear (Lot 7) parcel, which is landlocked and will be served by a proposed access easement to South Green Street.</w:t>
      </w:r>
    </w:p>
    <w:p w:rsidR="00FA0E1E" w:rsidRDefault="00121E1B">
      <w:pPr>
        <w:pStyle w:val="ListParagraph"/>
        <w:numPr>
          <w:ilvl w:val="0"/>
          <w:numId w:val="1"/>
        </w:numPr>
        <w:spacing w:after="80"/>
        <w:ind w:left="360"/>
      </w:pPr>
      <w:r>
        <w:rPr>
          <w:rFonts w:ascii="Arial" w:eastAsia="Arial" w:hAnsi="Arial" w:cs="Arial"/>
          <w:sz w:val="22"/>
          <w:szCs w:val="22"/>
        </w:rPr>
        <w:t>The applicant testified that no additional development is proposed at this time; the subdivision and easem</w:t>
      </w:r>
      <w:r>
        <w:rPr>
          <w:rFonts w:ascii="Arial" w:eastAsia="Arial" w:hAnsi="Arial" w:cs="Arial"/>
          <w:sz w:val="22"/>
          <w:szCs w:val="22"/>
        </w:rPr>
        <w:t>ent creation are the sole scope of the application, with a fully compliant building permit application to follow for each lot.</w:t>
      </w:r>
    </w:p>
    <w:p w:rsidR="00FA0E1E" w:rsidRDefault="00121E1B">
      <w:pPr>
        <w:pStyle w:val="ListParagraph"/>
        <w:numPr>
          <w:ilvl w:val="0"/>
          <w:numId w:val="1"/>
        </w:numPr>
        <w:spacing w:after="80"/>
        <w:ind w:left="360"/>
      </w:pPr>
      <w:r>
        <w:rPr>
          <w:rFonts w:ascii="Arial" w:eastAsia="Arial" w:hAnsi="Arial" w:cs="Arial"/>
          <w:sz w:val="22"/>
          <w:szCs w:val="22"/>
        </w:rPr>
        <w:t>The Board Engineer raised concerns regarding two separate driveways versus a single shared driveway from a storm</w:t>
      </w:r>
      <w:r w:rsidR="00751E68">
        <w:rPr>
          <w:rFonts w:ascii="Arial" w:eastAsia="Arial" w:hAnsi="Arial" w:cs="Arial"/>
          <w:sz w:val="22"/>
          <w:szCs w:val="22"/>
        </w:rPr>
        <w:t xml:space="preserve"> </w:t>
      </w:r>
      <w:r>
        <w:rPr>
          <w:rFonts w:ascii="Arial" w:eastAsia="Arial" w:hAnsi="Arial" w:cs="Arial"/>
          <w:sz w:val="22"/>
          <w:szCs w:val="22"/>
        </w:rPr>
        <w:t>water and impervi</w:t>
      </w:r>
      <w:r>
        <w:rPr>
          <w:rFonts w:ascii="Arial" w:eastAsia="Arial" w:hAnsi="Arial" w:cs="Arial"/>
          <w:sz w:val="22"/>
          <w:szCs w:val="22"/>
        </w:rPr>
        <w:t>ous coverage standpoint, and recommended the applicant consider a wider, shared driveway configuration to also improve fire apparatus access.</w:t>
      </w:r>
    </w:p>
    <w:p w:rsidR="00FA0E1E" w:rsidRDefault="00121E1B">
      <w:pPr>
        <w:pStyle w:val="ListParagraph"/>
        <w:numPr>
          <w:ilvl w:val="0"/>
          <w:numId w:val="1"/>
        </w:numPr>
        <w:spacing w:after="80"/>
        <w:ind w:left="360"/>
      </w:pPr>
      <w:r>
        <w:rPr>
          <w:rFonts w:ascii="Arial" w:eastAsia="Arial" w:hAnsi="Arial" w:cs="Arial"/>
          <w:sz w:val="22"/>
          <w:szCs w:val="22"/>
        </w:rPr>
        <w:t>The applicant agreed to widen the proposed access easement to 30 feet to allow flexibility in final driveway desig</w:t>
      </w:r>
      <w:r>
        <w:rPr>
          <w:rFonts w:ascii="Arial" w:eastAsia="Arial" w:hAnsi="Arial" w:cs="Arial"/>
          <w:sz w:val="22"/>
          <w:szCs w:val="22"/>
        </w:rPr>
        <w:t>n, subject to county and fire department approval.</w:t>
      </w:r>
    </w:p>
    <w:p w:rsidR="00FA0E1E" w:rsidRDefault="00121E1B">
      <w:pPr>
        <w:pStyle w:val="ListParagraph"/>
        <w:numPr>
          <w:ilvl w:val="0"/>
          <w:numId w:val="1"/>
        </w:numPr>
        <w:spacing w:after="80"/>
        <w:ind w:left="360"/>
      </w:pPr>
      <w:r>
        <w:rPr>
          <w:rFonts w:ascii="Arial" w:eastAsia="Arial" w:hAnsi="Arial" w:cs="Arial"/>
          <w:sz w:val="22"/>
          <w:szCs w:val="22"/>
        </w:rPr>
        <w:t>The Board Engineer recommended that the filed map clearly note the presence of mapped wetlands and that future development remains subject to wetlands investigation and potential DEP permitting, to protect</w:t>
      </w:r>
      <w:r>
        <w:rPr>
          <w:rFonts w:ascii="Arial" w:eastAsia="Arial" w:hAnsi="Arial" w:cs="Arial"/>
          <w:sz w:val="22"/>
          <w:szCs w:val="22"/>
        </w:rPr>
        <w:t xml:space="preserve"> future purchasers.</w:t>
      </w:r>
    </w:p>
    <w:p w:rsidR="00FA0E1E" w:rsidRDefault="00121E1B">
      <w:pPr>
        <w:pStyle w:val="ListParagraph"/>
        <w:numPr>
          <w:ilvl w:val="0"/>
          <w:numId w:val="1"/>
        </w:numPr>
        <w:spacing w:after="80"/>
        <w:ind w:left="360"/>
      </w:pPr>
      <w:r>
        <w:rPr>
          <w:rFonts w:ascii="Arial" w:eastAsia="Arial" w:hAnsi="Arial" w:cs="Arial"/>
          <w:sz w:val="22"/>
          <w:szCs w:val="22"/>
        </w:rPr>
        <w:t xml:space="preserve">The applicant testified to an existing rear access easement (associated with federal Fish &amp; Wildlife preserve lands) that will no longer be used; the applicant agreed to extinguish this easement by recorded deed and to plant arborvitae </w:t>
      </w:r>
      <w:r>
        <w:rPr>
          <w:rFonts w:ascii="Arial" w:eastAsia="Arial" w:hAnsi="Arial" w:cs="Arial"/>
          <w:sz w:val="22"/>
          <w:szCs w:val="22"/>
        </w:rPr>
        <w:t>along the rear property line to prevent continued informal use.</w:t>
      </w:r>
    </w:p>
    <w:p w:rsidR="00FA0E1E" w:rsidRDefault="00121E1B">
      <w:pPr>
        <w:pStyle w:val="ListParagraph"/>
        <w:numPr>
          <w:ilvl w:val="0"/>
          <w:numId w:val="1"/>
        </w:numPr>
        <w:spacing w:after="80"/>
        <w:ind w:left="360"/>
      </w:pPr>
      <w:r>
        <w:rPr>
          <w:rFonts w:ascii="Arial" w:eastAsia="Arial" w:hAnsi="Arial" w:cs="Arial"/>
          <w:sz w:val="22"/>
          <w:szCs w:val="22"/>
        </w:rPr>
        <w:t>The applicant agreed, as a condition of approval, that the existing house and shed be fully demolished, down to the footings, prior to the filing of the subdivision map.</w:t>
      </w:r>
    </w:p>
    <w:p w:rsidR="00FA0E1E" w:rsidRDefault="00121E1B">
      <w:pPr>
        <w:pStyle w:val="ListParagraph"/>
        <w:numPr>
          <w:ilvl w:val="0"/>
          <w:numId w:val="1"/>
        </w:numPr>
        <w:spacing w:after="80"/>
        <w:ind w:left="360"/>
      </w:pPr>
      <w:r>
        <w:rPr>
          <w:rFonts w:ascii="Arial" w:eastAsia="Arial" w:hAnsi="Arial" w:cs="Arial"/>
          <w:sz w:val="22"/>
          <w:szCs w:val="22"/>
        </w:rPr>
        <w:lastRenderedPageBreak/>
        <w:t>An existing lot line between the two rear parcels (already administratively consolidated by the Tax Assessor) is to be removed/cleaned up on the tax map as an informational matter.</w:t>
      </w:r>
    </w:p>
    <w:p w:rsidR="00FA0E1E" w:rsidRDefault="00121E1B">
      <w:pPr>
        <w:spacing w:after="120"/>
      </w:pPr>
      <w:r>
        <w:rPr>
          <w:rFonts w:ascii="Arial" w:eastAsia="Arial" w:hAnsi="Arial" w:cs="Arial"/>
          <w:b/>
          <w:bCs/>
          <w:sz w:val="22"/>
          <w:szCs w:val="22"/>
        </w:rPr>
        <w:t>Public Comment:</w:t>
      </w:r>
    </w:p>
    <w:p w:rsidR="00FA0E1E" w:rsidRDefault="00121E1B">
      <w:pPr>
        <w:pStyle w:val="ListParagraph"/>
        <w:numPr>
          <w:ilvl w:val="0"/>
          <w:numId w:val="1"/>
        </w:numPr>
        <w:spacing w:after="80"/>
        <w:ind w:left="360"/>
      </w:pPr>
      <w:r>
        <w:rPr>
          <w:rFonts w:ascii="Arial" w:eastAsia="Arial" w:hAnsi="Arial" w:cs="Arial"/>
          <w:sz w:val="22"/>
          <w:szCs w:val="22"/>
        </w:rPr>
        <w:t xml:space="preserve">Debbie </w:t>
      </w:r>
      <w:proofErr w:type="spellStart"/>
      <w:r>
        <w:rPr>
          <w:rFonts w:ascii="Arial" w:eastAsia="Arial" w:hAnsi="Arial" w:cs="Arial"/>
          <w:sz w:val="22"/>
          <w:szCs w:val="22"/>
        </w:rPr>
        <w:t>Mc</w:t>
      </w:r>
      <w:r w:rsidR="00574AC9">
        <w:rPr>
          <w:rFonts w:ascii="Arial" w:eastAsia="Arial" w:hAnsi="Arial" w:cs="Arial"/>
          <w:sz w:val="22"/>
          <w:szCs w:val="22"/>
        </w:rPr>
        <w:t>Munn</w:t>
      </w:r>
      <w:proofErr w:type="spellEnd"/>
      <w:r>
        <w:rPr>
          <w:rFonts w:ascii="Arial" w:eastAsia="Arial" w:hAnsi="Arial" w:cs="Arial"/>
          <w:sz w:val="22"/>
          <w:szCs w:val="22"/>
        </w:rPr>
        <w:t>, 83 Dolphin Road, raised concerns regardin</w:t>
      </w:r>
      <w:r>
        <w:rPr>
          <w:rFonts w:ascii="Arial" w:eastAsia="Arial" w:hAnsi="Arial" w:cs="Arial"/>
          <w:sz w:val="22"/>
          <w:szCs w:val="22"/>
        </w:rPr>
        <w:t>g prior clearing of cedar trees on the property, the Borough's tree ordinance, emergency vehicle access, and a history of flooding in the area following Superstorm Sandy.</w:t>
      </w:r>
    </w:p>
    <w:p w:rsidR="00FA0E1E" w:rsidRDefault="00121E1B">
      <w:pPr>
        <w:pStyle w:val="ListParagraph"/>
        <w:numPr>
          <w:ilvl w:val="0"/>
          <w:numId w:val="1"/>
        </w:numPr>
        <w:spacing w:after="80"/>
        <w:ind w:left="360"/>
      </w:pPr>
      <w:r>
        <w:rPr>
          <w:rFonts w:ascii="Arial" w:eastAsia="Arial" w:hAnsi="Arial" w:cs="Arial"/>
          <w:sz w:val="22"/>
          <w:szCs w:val="22"/>
        </w:rPr>
        <w:t>Jim McAndrew, 118 Marshall Avenue, an adjacent property owner, raised concerns regard</w:t>
      </w:r>
      <w:r>
        <w:rPr>
          <w:rFonts w:ascii="Arial" w:eastAsia="Arial" w:hAnsi="Arial" w:cs="Arial"/>
          <w:sz w:val="22"/>
          <w:szCs w:val="22"/>
        </w:rPr>
        <w:t>ing the current visual condition and lack of maintenance of the property, questioned the validity of the claimed rear easement, and raised concerns regarding impacts to wildlife habitat.</w:t>
      </w:r>
    </w:p>
    <w:p w:rsidR="00FA0E1E" w:rsidRDefault="00121E1B">
      <w:pPr>
        <w:spacing w:after="120"/>
      </w:pPr>
      <w:r>
        <w:rPr>
          <w:rFonts w:ascii="Arial" w:eastAsia="Arial" w:hAnsi="Arial" w:cs="Arial"/>
          <w:b/>
          <w:bCs/>
          <w:sz w:val="22"/>
          <w:szCs w:val="22"/>
        </w:rPr>
        <w:t>Board Action:</w:t>
      </w:r>
    </w:p>
    <w:p w:rsidR="00FA0E1E" w:rsidRDefault="00121E1B">
      <w:pPr>
        <w:spacing w:after="120"/>
      </w:pPr>
      <w:r>
        <w:rPr>
          <w:rFonts w:ascii="Arial" w:eastAsia="Arial" w:hAnsi="Arial" w:cs="Arial"/>
          <w:sz w:val="22"/>
          <w:szCs w:val="22"/>
        </w:rPr>
        <w:t>Following testimony and public comment, a motion was ma</w:t>
      </w:r>
      <w:r>
        <w:rPr>
          <w:rFonts w:ascii="Arial" w:eastAsia="Arial" w:hAnsi="Arial" w:cs="Arial"/>
          <w:sz w:val="22"/>
          <w:szCs w:val="22"/>
        </w:rPr>
        <w:t>de to approve the application subject to all stipulations discussed at the hearing, including but not limited to: demolition of the existing house and shed prior to filing of the subdivision map; extinguishment by recorded deed of the rear access easement;</w:t>
      </w:r>
      <w:r>
        <w:rPr>
          <w:rFonts w:ascii="Arial" w:eastAsia="Arial" w:hAnsi="Arial" w:cs="Arial"/>
          <w:sz w:val="22"/>
          <w:szCs w:val="22"/>
        </w:rPr>
        <w:t xml:space="preserve"> planting of arborvitae along the rear property line; widening of the access easement to 30 feet; coordination with and approval of the fire department and Ocean County regarding driveway/curb-cut configuration; and notation of mapped wetlands on the filed</w:t>
      </w:r>
      <w:r>
        <w:rPr>
          <w:rFonts w:ascii="Arial" w:eastAsia="Arial" w:hAnsi="Arial" w:cs="Arial"/>
          <w:sz w:val="22"/>
          <w:szCs w:val="22"/>
        </w:rPr>
        <w:t xml:space="preserve"> subdivision map. The motion was seconded.</w:t>
      </w:r>
    </w:p>
    <w:p w:rsidR="00FA0E1E" w:rsidRDefault="00121E1B">
      <w:pPr>
        <w:spacing w:after="120"/>
      </w:pPr>
      <w:r>
        <w:rPr>
          <w:rFonts w:ascii="Arial" w:eastAsia="Arial" w:hAnsi="Arial" w:cs="Arial"/>
          <w:sz w:val="22"/>
          <w:szCs w:val="22"/>
        </w:rPr>
        <w:t>Roll Call Vote:</w:t>
      </w:r>
    </w:p>
    <w:p w:rsidR="00FA0E1E" w:rsidRDefault="00121E1B">
      <w:pPr>
        <w:pStyle w:val="ListParagraph"/>
        <w:numPr>
          <w:ilvl w:val="0"/>
          <w:numId w:val="1"/>
        </w:numPr>
        <w:spacing w:after="80"/>
        <w:ind w:left="360"/>
      </w:pPr>
      <w:r>
        <w:rPr>
          <w:rFonts w:ascii="Arial" w:eastAsia="Arial" w:hAnsi="Arial" w:cs="Arial"/>
          <w:sz w:val="22"/>
          <w:szCs w:val="22"/>
        </w:rPr>
        <w:t xml:space="preserve">Don </w:t>
      </w:r>
      <w:proofErr w:type="spellStart"/>
      <w:r>
        <w:rPr>
          <w:rFonts w:ascii="Arial" w:eastAsia="Arial" w:hAnsi="Arial" w:cs="Arial"/>
          <w:sz w:val="22"/>
          <w:szCs w:val="22"/>
        </w:rPr>
        <w:t>R</w:t>
      </w:r>
      <w:r w:rsidR="00F02FD2">
        <w:rPr>
          <w:rFonts w:ascii="Arial" w:eastAsia="Arial" w:hAnsi="Arial" w:cs="Arial"/>
          <w:sz w:val="22"/>
          <w:szCs w:val="22"/>
        </w:rPr>
        <w:t>ocheskey</w:t>
      </w:r>
      <w:proofErr w:type="spellEnd"/>
      <w:r>
        <w:rPr>
          <w:rFonts w:ascii="Arial" w:eastAsia="Arial" w:hAnsi="Arial" w:cs="Arial"/>
          <w:sz w:val="22"/>
          <w:szCs w:val="22"/>
        </w:rPr>
        <w:t>— Yes</w:t>
      </w:r>
    </w:p>
    <w:p w:rsidR="00FA0E1E" w:rsidRDefault="00121E1B">
      <w:pPr>
        <w:pStyle w:val="ListParagraph"/>
        <w:numPr>
          <w:ilvl w:val="0"/>
          <w:numId w:val="1"/>
        </w:numPr>
        <w:spacing w:after="80"/>
        <w:ind w:left="360"/>
      </w:pPr>
      <w:r>
        <w:rPr>
          <w:rFonts w:ascii="Arial" w:eastAsia="Arial" w:hAnsi="Arial" w:cs="Arial"/>
          <w:sz w:val="22"/>
          <w:szCs w:val="22"/>
        </w:rPr>
        <w:t>Mayor Marshall — Yes</w:t>
      </w:r>
    </w:p>
    <w:p w:rsidR="00FA0E1E" w:rsidRDefault="00121E1B">
      <w:pPr>
        <w:pStyle w:val="ListParagraph"/>
        <w:numPr>
          <w:ilvl w:val="0"/>
          <w:numId w:val="1"/>
        </w:numPr>
        <w:spacing w:after="80"/>
        <w:ind w:left="360"/>
      </w:pPr>
      <w:r>
        <w:rPr>
          <w:rFonts w:ascii="Arial" w:eastAsia="Arial" w:hAnsi="Arial" w:cs="Arial"/>
          <w:sz w:val="22"/>
          <w:szCs w:val="22"/>
        </w:rPr>
        <w:t>Keith Vreeland — Yes</w:t>
      </w:r>
    </w:p>
    <w:p w:rsidR="00FA0E1E" w:rsidRDefault="00F02FD2">
      <w:pPr>
        <w:pStyle w:val="ListParagraph"/>
        <w:numPr>
          <w:ilvl w:val="0"/>
          <w:numId w:val="1"/>
        </w:numPr>
        <w:spacing w:after="80"/>
        <w:ind w:left="360"/>
      </w:pPr>
      <w:r>
        <w:rPr>
          <w:rFonts w:ascii="Arial" w:eastAsia="Arial" w:hAnsi="Arial" w:cs="Arial"/>
          <w:sz w:val="22"/>
          <w:szCs w:val="22"/>
        </w:rPr>
        <w:t xml:space="preserve">Paul </w:t>
      </w:r>
      <w:proofErr w:type="spellStart"/>
      <w:r>
        <w:rPr>
          <w:rFonts w:ascii="Arial" w:eastAsia="Arial" w:hAnsi="Arial" w:cs="Arial"/>
          <w:sz w:val="22"/>
          <w:szCs w:val="22"/>
        </w:rPr>
        <w:t>Sol</w:t>
      </w:r>
      <w:r w:rsidR="00121E1B">
        <w:rPr>
          <w:rFonts w:ascii="Arial" w:eastAsia="Arial" w:hAnsi="Arial" w:cs="Arial"/>
          <w:sz w:val="22"/>
          <w:szCs w:val="22"/>
        </w:rPr>
        <w:t>imani</w:t>
      </w:r>
      <w:proofErr w:type="spellEnd"/>
      <w:r w:rsidR="00121E1B">
        <w:rPr>
          <w:rFonts w:ascii="Arial" w:eastAsia="Arial" w:hAnsi="Arial" w:cs="Arial"/>
          <w:sz w:val="22"/>
          <w:szCs w:val="22"/>
        </w:rPr>
        <w:t xml:space="preserve"> — Yes</w:t>
      </w:r>
    </w:p>
    <w:p w:rsidR="00FA0E1E" w:rsidRDefault="00121E1B">
      <w:pPr>
        <w:pStyle w:val="ListParagraph"/>
        <w:numPr>
          <w:ilvl w:val="0"/>
          <w:numId w:val="1"/>
        </w:numPr>
        <w:spacing w:after="80"/>
        <w:ind w:left="360"/>
      </w:pPr>
      <w:r>
        <w:rPr>
          <w:rFonts w:ascii="Arial" w:eastAsia="Arial" w:hAnsi="Arial" w:cs="Arial"/>
          <w:sz w:val="22"/>
          <w:szCs w:val="22"/>
        </w:rPr>
        <w:t>Calvin Morey — Yes</w:t>
      </w:r>
    </w:p>
    <w:p w:rsidR="00FA0E1E" w:rsidRDefault="00121E1B">
      <w:pPr>
        <w:pStyle w:val="ListParagraph"/>
        <w:numPr>
          <w:ilvl w:val="0"/>
          <w:numId w:val="1"/>
        </w:numPr>
        <w:spacing w:after="80"/>
        <w:ind w:left="360"/>
      </w:pPr>
      <w:r>
        <w:rPr>
          <w:rFonts w:ascii="Arial" w:eastAsia="Arial" w:hAnsi="Arial" w:cs="Arial"/>
          <w:sz w:val="22"/>
          <w:szCs w:val="22"/>
        </w:rPr>
        <w:t>Robert Rue — Yes</w:t>
      </w:r>
    </w:p>
    <w:p w:rsidR="00FA0E1E" w:rsidRDefault="00121E1B">
      <w:pPr>
        <w:spacing w:after="120"/>
      </w:pPr>
      <w:r>
        <w:rPr>
          <w:rFonts w:ascii="Arial" w:eastAsia="Arial" w:hAnsi="Arial" w:cs="Arial"/>
          <w:sz w:val="22"/>
          <w:szCs w:val="22"/>
        </w:rPr>
        <w:t>The application was approved with conditions.</w:t>
      </w:r>
    </w:p>
    <w:p w:rsidR="00FA0E1E" w:rsidRDefault="00121E1B">
      <w:pPr>
        <w:spacing w:after="120"/>
      </w:pPr>
      <w:r>
        <w:rPr>
          <w:rFonts w:ascii="Arial" w:eastAsia="Arial" w:hAnsi="Arial" w:cs="Arial"/>
          <w:b/>
          <w:bCs/>
          <w:sz w:val="22"/>
          <w:szCs w:val="22"/>
        </w:rPr>
        <w:t>Informal Discussion: Parker Road — Two-Lot Single-Family Concept</w:t>
      </w:r>
    </w:p>
    <w:p w:rsidR="00FA0E1E" w:rsidRDefault="00121E1B">
      <w:pPr>
        <w:spacing w:after="120"/>
      </w:pPr>
      <w:r>
        <w:rPr>
          <w:rFonts w:ascii="Arial" w:eastAsia="Arial" w:hAnsi="Arial" w:cs="Arial"/>
          <w:sz w:val="22"/>
          <w:szCs w:val="22"/>
        </w:rPr>
        <w:t>The Board heard an informal, non-binding presentation regarding a previously-discussed property on Parker Road, involving two single-family homes on two lots (a lot line adjustment between Lo</w:t>
      </w:r>
      <w:r>
        <w:rPr>
          <w:rFonts w:ascii="Arial" w:eastAsia="Arial" w:hAnsi="Arial" w:cs="Arial"/>
          <w:sz w:val="22"/>
          <w:szCs w:val="22"/>
        </w:rPr>
        <w:t>t 7 and Lot 10). The applicant advised that wetlands had previously been delineated and that the current concept requires only a single lot-width variance (approximately 69 feet where 75 feet is required).</w:t>
      </w:r>
    </w:p>
    <w:p w:rsidR="00FA0E1E" w:rsidRDefault="00121E1B">
      <w:pPr>
        <w:pStyle w:val="ListParagraph"/>
        <w:numPr>
          <w:ilvl w:val="0"/>
          <w:numId w:val="1"/>
        </w:numPr>
        <w:spacing w:after="80"/>
        <w:ind w:left="360"/>
      </w:pPr>
      <w:r>
        <w:rPr>
          <w:rFonts w:ascii="Arial" w:eastAsia="Arial" w:hAnsi="Arial" w:cs="Arial"/>
          <w:sz w:val="22"/>
          <w:szCs w:val="22"/>
        </w:rPr>
        <w:t>The Board Engineer noted no objection to the share</w:t>
      </w:r>
      <w:r>
        <w:rPr>
          <w:rFonts w:ascii="Arial" w:eastAsia="Arial" w:hAnsi="Arial" w:cs="Arial"/>
          <w:sz w:val="22"/>
          <w:szCs w:val="22"/>
        </w:rPr>
        <w:t>d driveway concept discussed, provided each lot independently satisfies its own RSIS parking requirement without relying on the neighboring lot.</w:t>
      </w:r>
    </w:p>
    <w:p w:rsidR="00FA0E1E" w:rsidRDefault="00121E1B">
      <w:pPr>
        <w:pStyle w:val="ListParagraph"/>
        <w:numPr>
          <w:ilvl w:val="0"/>
          <w:numId w:val="1"/>
        </w:numPr>
        <w:spacing w:after="80"/>
        <w:ind w:left="360"/>
      </w:pPr>
      <w:r>
        <w:rPr>
          <w:rFonts w:ascii="Arial" w:eastAsia="Arial" w:hAnsi="Arial" w:cs="Arial"/>
          <w:sz w:val="22"/>
          <w:szCs w:val="22"/>
        </w:rPr>
        <w:t>The Board Engineer and Board members indicated no objection to the concept as presented on an informal basis. N</w:t>
      </w:r>
      <w:r>
        <w:rPr>
          <w:rFonts w:ascii="Arial" w:eastAsia="Arial" w:hAnsi="Arial" w:cs="Arial"/>
          <w:sz w:val="22"/>
          <w:szCs w:val="22"/>
        </w:rPr>
        <w:t>o formal vote was taken, as the matter was not formally noticed.</w:t>
      </w:r>
    </w:p>
    <w:p w:rsidR="00FA0E1E" w:rsidRDefault="00121E1B">
      <w:pPr>
        <w:spacing w:after="120"/>
      </w:pPr>
      <w:r>
        <w:rPr>
          <w:rFonts w:ascii="Arial" w:eastAsia="Arial" w:hAnsi="Arial" w:cs="Arial"/>
          <w:sz w:val="22"/>
          <w:szCs w:val="22"/>
        </w:rPr>
        <w:t>The applicant indicated intent to proceed to a formal application with supporting professionals.</w:t>
      </w:r>
    </w:p>
    <w:p w:rsidR="00FA0E1E" w:rsidRDefault="00121E1B">
      <w:pPr>
        <w:pBdr>
          <w:bottom w:val="single" w:sz="6" w:space="2" w:color="1F3864"/>
        </w:pBdr>
        <w:spacing w:before="300" w:after="150"/>
      </w:pPr>
      <w:r>
        <w:rPr>
          <w:rFonts w:ascii="Arial" w:eastAsia="Arial" w:hAnsi="Arial" w:cs="Arial"/>
          <w:b/>
          <w:bCs/>
          <w:color w:val="1F3864"/>
          <w:sz w:val="26"/>
          <w:szCs w:val="26"/>
        </w:rPr>
        <w:t>Outstanding Issues</w:t>
      </w:r>
    </w:p>
    <w:p w:rsidR="00FA0E1E" w:rsidRDefault="00121E1B">
      <w:pPr>
        <w:pStyle w:val="ListParagraph"/>
        <w:numPr>
          <w:ilvl w:val="0"/>
          <w:numId w:val="1"/>
        </w:numPr>
        <w:spacing w:after="80"/>
        <w:ind w:left="360"/>
      </w:pPr>
      <w:r>
        <w:rPr>
          <w:rFonts w:ascii="Arial" w:eastAsia="Arial" w:hAnsi="Arial" w:cs="Arial"/>
          <w:sz w:val="22"/>
          <w:szCs w:val="22"/>
        </w:rPr>
        <w:t>411 South Green Street (</w:t>
      </w:r>
      <w:r w:rsidR="00F02FD2">
        <w:rPr>
          <w:rFonts w:ascii="Arial" w:eastAsia="Arial" w:hAnsi="Arial" w:cs="Arial"/>
          <w:sz w:val="22"/>
          <w:szCs w:val="22"/>
        </w:rPr>
        <w:t>Egg</w:t>
      </w:r>
      <w:r>
        <w:rPr>
          <w:rFonts w:ascii="Arial" w:eastAsia="Arial" w:hAnsi="Arial" w:cs="Arial"/>
          <w:sz w:val="22"/>
          <w:szCs w:val="22"/>
        </w:rPr>
        <w:t xml:space="preserve"> Harbor Homes, LLC): applicant to finalize drive</w:t>
      </w:r>
      <w:r>
        <w:rPr>
          <w:rFonts w:ascii="Arial" w:eastAsia="Arial" w:hAnsi="Arial" w:cs="Arial"/>
          <w:sz w:val="22"/>
          <w:szCs w:val="22"/>
        </w:rPr>
        <w:t>way/easement width, fire department sign-off, deed extinguishing the rear easement, and wetlands notation prior to filing of the subdivision map.</w:t>
      </w:r>
    </w:p>
    <w:p w:rsidR="00FA0E1E" w:rsidRDefault="00121E1B">
      <w:pPr>
        <w:pStyle w:val="ListParagraph"/>
        <w:numPr>
          <w:ilvl w:val="0"/>
          <w:numId w:val="1"/>
        </w:numPr>
        <w:spacing w:after="80"/>
        <w:ind w:left="360"/>
      </w:pPr>
      <w:r>
        <w:rPr>
          <w:rFonts w:ascii="Arial" w:eastAsia="Arial" w:hAnsi="Arial" w:cs="Arial"/>
          <w:sz w:val="22"/>
          <w:szCs w:val="22"/>
        </w:rPr>
        <w:lastRenderedPageBreak/>
        <w:t>Parker Road informal concept: applicant to return with a formal application, including lot-width variance reli</w:t>
      </w:r>
      <w:r>
        <w:rPr>
          <w:rFonts w:ascii="Arial" w:eastAsia="Arial" w:hAnsi="Arial" w:cs="Arial"/>
          <w:sz w:val="22"/>
          <w:szCs w:val="22"/>
        </w:rPr>
        <w:t>ef.</w:t>
      </w:r>
    </w:p>
    <w:p w:rsidR="00FA0E1E" w:rsidRDefault="00121E1B">
      <w:pPr>
        <w:pBdr>
          <w:bottom w:val="single" w:sz="6" w:space="2" w:color="1F3864"/>
        </w:pBdr>
        <w:spacing w:before="300" w:after="150"/>
      </w:pPr>
      <w:r>
        <w:rPr>
          <w:rFonts w:ascii="Arial" w:eastAsia="Arial" w:hAnsi="Arial" w:cs="Arial"/>
          <w:b/>
          <w:bCs/>
          <w:color w:val="1F3864"/>
          <w:sz w:val="26"/>
          <w:szCs w:val="26"/>
        </w:rPr>
        <w:t>Adjournment</w:t>
      </w:r>
    </w:p>
    <w:p w:rsidR="00FA0E1E" w:rsidRDefault="00121E1B">
      <w:pPr>
        <w:spacing w:after="120"/>
      </w:pPr>
      <w:r>
        <w:rPr>
          <w:rFonts w:ascii="Arial" w:eastAsia="Arial" w:hAnsi="Arial" w:cs="Arial"/>
          <w:sz w:val="22"/>
          <w:szCs w:val="22"/>
        </w:rPr>
        <w:t>There being no further business, a motion was made and seconded to adjourn the meeting. The motion carried, and the meeting was adjourned</w:t>
      </w:r>
      <w:r w:rsidR="004569CC">
        <w:rPr>
          <w:rFonts w:ascii="Arial" w:eastAsia="Arial" w:hAnsi="Arial" w:cs="Arial"/>
          <w:sz w:val="22"/>
          <w:szCs w:val="22"/>
        </w:rPr>
        <w:t xml:space="preserve"> 7:47 PM</w:t>
      </w:r>
      <w:r>
        <w:rPr>
          <w:rFonts w:ascii="Arial" w:eastAsia="Arial" w:hAnsi="Arial" w:cs="Arial"/>
          <w:sz w:val="22"/>
          <w:szCs w:val="22"/>
        </w:rPr>
        <w:t>.</w:t>
      </w:r>
    </w:p>
    <w:p w:rsidR="00FA0E1E" w:rsidRDefault="00121E1B">
      <w:pPr>
        <w:spacing w:before="600"/>
      </w:pPr>
      <w:r>
        <w:rPr>
          <w:rFonts w:ascii="Arial" w:eastAsia="Arial" w:hAnsi="Arial" w:cs="Arial"/>
          <w:sz w:val="22"/>
          <w:szCs w:val="22"/>
        </w:rPr>
        <w:t>Respectfully submitted,</w:t>
      </w:r>
    </w:p>
    <w:p w:rsidR="00FA0E1E" w:rsidRDefault="00121E1B">
      <w:pPr>
        <w:spacing w:before="600"/>
      </w:pPr>
      <w:r>
        <w:rPr>
          <w:rFonts w:ascii="Arial" w:eastAsia="Arial" w:hAnsi="Arial" w:cs="Arial"/>
          <w:b/>
          <w:bCs/>
          <w:sz w:val="22"/>
          <w:szCs w:val="22"/>
        </w:rPr>
        <w:t>Lindsay Cranmer, Secretary</w:t>
      </w:r>
    </w:p>
    <w:p w:rsidR="00FA0E1E" w:rsidRDefault="00121E1B">
      <w:r>
        <w:rPr>
          <w:rFonts w:ascii="Arial" w:eastAsia="Arial" w:hAnsi="Arial" w:cs="Arial"/>
          <w:sz w:val="22"/>
          <w:szCs w:val="22"/>
        </w:rPr>
        <w:t>Tuckerton Borough Land Use Board</w:t>
      </w:r>
    </w:p>
    <w:sectPr w:rsidR="00FA0E1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3D6E02"/>
    <w:multiLevelType w:val="hybridMultilevel"/>
    <w:tmpl w:val="45A2C9C6"/>
    <w:lvl w:ilvl="0" w:tplc="35C2A7EE">
      <w:start w:val="1"/>
      <w:numFmt w:val="bullet"/>
      <w:lvlText w:val="●"/>
      <w:lvlJc w:val="left"/>
      <w:pPr>
        <w:ind w:left="720" w:hanging="360"/>
      </w:pPr>
    </w:lvl>
    <w:lvl w:ilvl="1" w:tplc="E7A2CBAA">
      <w:start w:val="1"/>
      <w:numFmt w:val="bullet"/>
      <w:lvlText w:val="○"/>
      <w:lvlJc w:val="left"/>
      <w:pPr>
        <w:ind w:left="1440" w:hanging="360"/>
      </w:pPr>
    </w:lvl>
    <w:lvl w:ilvl="2" w:tplc="D97C06AA">
      <w:start w:val="1"/>
      <w:numFmt w:val="bullet"/>
      <w:lvlText w:val="■"/>
      <w:lvlJc w:val="left"/>
      <w:pPr>
        <w:ind w:left="2160" w:hanging="360"/>
      </w:pPr>
    </w:lvl>
    <w:lvl w:ilvl="3" w:tplc="FE466C80">
      <w:start w:val="1"/>
      <w:numFmt w:val="bullet"/>
      <w:lvlText w:val="●"/>
      <w:lvlJc w:val="left"/>
      <w:pPr>
        <w:ind w:left="2880" w:hanging="360"/>
      </w:pPr>
    </w:lvl>
    <w:lvl w:ilvl="4" w:tplc="E37EE16E">
      <w:start w:val="1"/>
      <w:numFmt w:val="bullet"/>
      <w:lvlText w:val="○"/>
      <w:lvlJc w:val="left"/>
      <w:pPr>
        <w:ind w:left="3600" w:hanging="360"/>
      </w:pPr>
    </w:lvl>
    <w:lvl w:ilvl="5" w:tplc="BE5EA780">
      <w:start w:val="1"/>
      <w:numFmt w:val="bullet"/>
      <w:lvlText w:val="■"/>
      <w:lvlJc w:val="left"/>
      <w:pPr>
        <w:ind w:left="4320" w:hanging="360"/>
      </w:pPr>
    </w:lvl>
    <w:lvl w:ilvl="6" w:tplc="65480786">
      <w:start w:val="1"/>
      <w:numFmt w:val="bullet"/>
      <w:lvlText w:val="●"/>
      <w:lvlJc w:val="left"/>
      <w:pPr>
        <w:ind w:left="5040" w:hanging="360"/>
      </w:pPr>
    </w:lvl>
    <w:lvl w:ilvl="7" w:tplc="13A89932">
      <w:start w:val="1"/>
      <w:numFmt w:val="bullet"/>
      <w:lvlText w:val="●"/>
      <w:lvlJc w:val="left"/>
      <w:pPr>
        <w:ind w:left="5760" w:hanging="360"/>
      </w:pPr>
    </w:lvl>
    <w:lvl w:ilvl="8" w:tplc="88A8209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E1E"/>
    <w:rsid w:val="00121E1B"/>
    <w:rsid w:val="004569CC"/>
    <w:rsid w:val="00574AC9"/>
    <w:rsid w:val="00751E68"/>
    <w:rsid w:val="007D4E48"/>
    <w:rsid w:val="00B655A1"/>
    <w:rsid w:val="00D50466"/>
    <w:rsid w:val="00F02FD2"/>
    <w:rsid w:val="00FA0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255EE7-A8AF-4126-AD47-A992453B4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D504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4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Lindsay Cranmer</cp:lastModifiedBy>
  <cp:revision>9</cp:revision>
  <cp:lastPrinted>2026-08-18T13:16:00Z</cp:lastPrinted>
  <dcterms:created xsi:type="dcterms:W3CDTF">2026-08-17T18:52:00Z</dcterms:created>
  <dcterms:modified xsi:type="dcterms:W3CDTF">2026-08-18T13:18:00Z</dcterms:modified>
</cp:coreProperties>
</file>